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B7EAB" w14:textId="77777777" w:rsidR="00EB4970" w:rsidRDefault="00EB4970">
      <w:pPr>
        <w:keepNext/>
        <w:pBdr>
          <w:top w:val="nil"/>
          <w:left w:val="nil"/>
          <w:bottom w:val="nil"/>
          <w:right w:val="nil"/>
          <w:between w:val="nil"/>
        </w:pBdr>
        <w:spacing w:after="240" w:line="240" w:lineRule="auto"/>
        <w:rPr>
          <w:rFonts w:ascii="Arial" w:eastAsia="Arial" w:hAnsi="Arial" w:cs="Arial"/>
          <w:b/>
          <w:color w:val="000000"/>
          <w:sz w:val="36"/>
          <w:szCs w:val="36"/>
        </w:rPr>
      </w:pPr>
    </w:p>
    <w:p w14:paraId="792B7EAC" w14:textId="77777777" w:rsidR="00EB4970" w:rsidRDefault="00AD63E4">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14 (Service Levels)</w:t>
      </w:r>
    </w:p>
    <w:p w14:paraId="792B7EAD" w14:textId="77777777" w:rsidR="00EB4970" w:rsidRDefault="00AD63E4">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792B7EAE" w14:textId="77777777" w:rsidR="00EB4970" w:rsidRDefault="00AD63E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EB4970" w14:paraId="792B7EB3" w14:textId="77777777">
        <w:tc>
          <w:tcPr>
            <w:tcW w:w="2410" w:type="dxa"/>
            <w:shd w:val="clear" w:color="auto" w:fill="auto"/>
          </w:tcPr>
          <w:p w14:paraId="792B7EAF" w14:textId="77777777" w:rsidR="00EB4970" w:rsidRDefault="00EB4970">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792B7EB0" w14:textId="77777777" w:rsidR="00EB4970" w:rsidRDefault="00AD63E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792B7EB1" w14:textId="77777777" w:rsidR="00EB4970" w:rsidRDefault="00EB4970" w:rsidP="00AD63E4">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p>
          <w:p w14:paraId="792B7EB2" w14:textId="77777777" w:rsidR="00EB4970" w:rsidRDefault="00AD63E4" w:rsidP="00AD63E4">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EB4970" w14:paraId="792B7EB6" w14:textId="77777777">
        <w:tc>
          <w:tcPr>
            <w:tcW w:w="2410" w:type="dxa"/>
            <w:shd w:val="clear" w:color="auto" w:fill="auto"/>
          </w:tcPr>
          <w:p w14:paraId="792B7EB4" w14:textId="77777777" w:rsidR="00EB4970" w:rsidRDefault="00AD63E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792B7EB5" w14:textId="77777777" w:rsidR="00EB4970" w:rsidRDefault="00AD63E4" w:rsidP="00AD63E4">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EB4970" w14:paraId="792B7EB9" w14:textId="77777777">
        <w:trPr>
          <w:trHeight w:val="359"/>
        </w:trPr>
        <w:tc>
          <w:tcPr>
            <w:tcW w:w="2410" w:type="dxa"/>
            <w:shd w:val="clear" w:color="auto" w:fill="auto"/>
          </w:tcPr>
          <w:p w14:paraId="792B7EB7" w14:textId="77777777" w:rsidR="00EB4970" w:rsidRDefault="00AD63E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792B7EB8" w14:textId="77777777" w:rsidR="00EB4970" w:rsidRDefault="00AD63E4" w:rsidP="00AD63E4">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EB4970" w14:paraId="792B7EBC" w14:textId="77777777">
        <w:tc>
          <w:tcPr>
            <w:tcW w:w="2410" w:type="dxa"/>
            <w:shd w:val="clear" w:color="auto" w:fill="auto"/>
          </w:tcPr>
          <w:p w14:paraId="792B7EBA" w14:textId="77777777" w:rsidR="00EB4970" w:rsidRDefault="00AD63E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792B7EBB" w14:textId="77777777" w:rsidR="00EB4970" w:rsidRDefault="00AD63E4" w:rsidP="00AD63E4">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EB4970" w14:paraId="792B7EBF" w14:textId="77777777">
        <w:tc>
          <w:tcPr>
            <w:tcW w:w="2410" w:type="dxa"/>
            <w:shd w:val="clear" w:color="auto" w:fill="auto"/>
          </w:tcPr>
          <w:p w14:paraId="792B7EBD" w14:textId="77777777" w:rsidR="00EB4970" w:rsidRDefault="00AD63E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792B7EBE" w14:textId="77777777" w:rsidR="00EB4970" w:rsidRDefault="00AD63E4" w:rsidP="00AD63E4">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EB4970" w14:paraId="792B7EC2" w14:textId="77777777">
        <w:tc>
          <w:tcPr>
            <w:tcW w:w="2410" w:type="dxa"/>
            <w:shd w:val="clear" w:color="auto" w:fill="auto"/>
          </w:tcPr>
          <w:p w14:paraId="792B7EC0" w14:textId="77777777" w:rsidR="00EB4970" w:rsidRDefault="00AD63E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792B7EC1" w14:textId="77777777" w:rsidR="00EB4970" w:rsidRDefault="00AD63E4" w:rsidP="00AD63E4">
            <w:pPr>
              <w:pBdr>
                <w:top w:val="nil"/>
                <w:left w:val="nil"/>
                <w:bottom w:val="nil"/>
                <w:right w:val="nil"/>
                <w:between w:val="nil"/>
              </w:pBdr>
              <w:tabs>
                <w:tab w:val="left" w:pos="-9"/>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792B7EC3" w14:textId="77777777" w:rsidR="00EB4970" w:rsidRDefault="00AD63E4">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Service Levels</w:t>
      </w:r>
    </w:p>
    <w:p w14:paraId="792B7EC4" w14:textId="77777777" w:rsidR="00EB4970" w:rsidRDefault="00AD63E4">
      <w:pPr>
        <w:numPr>
          <w:ilvl w:val="1"/>
          <w:numId w:val="1"/>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792B7EC5" w14:textId="77777777" w:rsidR="00EB4970" w:rsidRDefault="00AD63E4">
      <w:pPr>
        <w:numPr>
          <w:ilvl w:val="1"/>
          <w:numId w:val="1"/>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w:t>
      </w:r>
      <w:r>
        <w:rPr>
          <w:rFonts w:ascii="Arial" w:eastAsia="Arial" w:hAnsi="Arial" w:cs="Arial"/>
          <w:color w:val="000000"/>
          <w:sz w:val="24"/>
          <w:szCs w:val="24"/>
        </w:rPr>
        <w:t>e the Buyer to the rights set out in Part A of this Schedule including the right to any Service Credits and that any Service Credit is a price adjustment and not an estimate of the Loss that may be suffered by the Buyer as a result of the Supplier’s failur</w:t>
      </w:r>
      <w:r>
        <w:rPr>
          <w:rFonts w:ascii="Arial" w:eastAsia="Arial" w:hAnsi="Arial" w:cs="Arial"/>
          <w:color w:val="000000"/>
          <w:sz w:val="24"/>
          <w:szCs w:val="24"/>
        </w:rPr>
        <w:t>e to meet any Service Level Performance Measure.</w:t>
      </w:r>
    </w:p>
    <w:p w14:paraId="792B7EC6" w14:textId="77777777" w:rsidR="00EB4970" w:rsidRDefault="00AD63E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792B7EC7" w14:textId="77777777" w:rsidR="00EB4970" w:rsidRDefault="00AD63E4">
      <w:pPr>
        <w:numPr>
          <w:ilvl w:val="1"/>
          <w:numId w:val="1"/>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A </w:t>
      </w:r>
      <w:r>
        <w:rPr>
          <w:rFonts w:ascii="Arial" w:eastAsia="Arial" w:hAnsi="Arial" w:cs="Arial"/>
          <w:color w:val="000000"/>
          <w:sz w:val="24"/>
          <w:szCs w:val="24"/>
        </w:rPr>
        <w:t>Service Credit shall be the Buyer’s exclusive financial remedy for a Service Level Failure except where:</w:t>
      </w:r>
    </w:p>
    <w:p w14:paraId="792B7EC8" w14:textId="77777777" w:rsidR="00EB4970" w:rsidRDefault="00AD63E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792B7EC9" w14:textId="77777777" w:rsidR="00EB4970" w:rsidRDefault="00AD63E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Service Level Failure:</w:t>
      </w:r>
    </w:p>
    <w:p w14:paraId="792B7ECA" w14:textId="77777777" w:rsidR="00EB4970" w:rsidRDefault="00AD63E4">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792B7ECB" w14:textId="77777777" w:rsidR="00EB4970" w:rsidRDefault="00AD63E4">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792B7ECC" w14:textId="77777777" w:rsidR="00EB4970" w:rsidRDefault="00AD63E4">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792B7ECD" w14:textId="77777777" w:rsidR="00EB4970" w:rsidRDefault="00AD63E4">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results in the Buyer being required to make a compensation payment to one </w:t>
      </w:r>
      <w:r>
        <w:rPr>
          <w:rFonts w:ascii="Arial" w:eastAsia="Arial" w:hAnsi="Arial" w:cs="Arial"/>
          <w:color w:val="000000"/>
          <w:sz w:val="24"/>
          <w:szCs w:val="24"/>
        </w:rPr>
        <w:t>or more third parties; and/or</w:t>
      </w:r>
    </w:p>
    <w:p w14:paraId="792B7ECE" w14:textId="77777777" w:rsidR="00EB4970" w:rsidRDefault="00AD63E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otherwise entitled to or does terminate this Contract pursuant to Clause 10.4 (CCS and Buyer Termination Rights).</w:t>
      </w:r>
    </w:p>
    <w:p w14:paraId="792B7ECF" w14:textId="77777777" w:rsidR="00EB4970" w:rsidRDefault="00AD63E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more than once in each Contract Year, the Buyer may, on giving the Supplier at least three (3) </w:t>
      </w:r>
      <w:r>
        <w:rPr>
          <w:rFonts w:ascii="Arial" w:eastAsia="Arial" w:hAnsi="Arial" w:cs="Arial"/>
          <w:color w:val="000000"/>
          <w:sz w:val="24"/>
          <w:szCs w:val="24"/>
        </w:rPr>
        <w:t>Months’ notice, change the weighting of Service Level Performance Measure in respect of one or more Service Levels and the Supplier shall not be entitled to object to, or increase the Charges as a result of such changes, provided that:</w:t>
      </w:r>
    </w:p>
    <w:p w14:paraId="792B7ED0" w14:textId="77777777" w:rsidR="00EB4970" w:rsidRDefault="00AD63E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w:t>
      </w:r>
      <w:r>
        <w:rPr>
          <w:rFonts w:ascii="Arial" w:eastAsia="Arial" w:hAnsi="Arial" w:cs="Arial"/>
          <w:color w:val="000000"/>
          <w:sz w:val="24"/>
          <w:szCs w:val="24"/>
        </w:rPr>
        <w:t xml:space="preserve">Service Levels for which the weighting is to be changed does not exceed the number applicable as at the Start Date; </w:t>
      </w:r>
    </w:p>
    <w:p w14:paraId="792B7ED1" w14:textId="77777777" w:rsidR="00EB4970" w:rsidRDefault="00AD63E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w:t>
      </w:r>
      <w:r>
        <w:rPr>
          <w:rFonts w:ascii="Arial" w:eastAsia="Arial" w:hAnsi="Arial" w:cs="Arial"/>
          <w:color w:val="000000"/>
          <w:sz w:val="24"/>
          <w:szCs w:val="24"/>
        </w:rPr>
        <w:t>ustry standards; and</w:t>
      </w:r>
    </w:p>
    <w:p w14:paraId="792B7ED2" w14:textId="77777777" w:rsidR="00EB4970" w:rsidRDefault="00AD63E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792B7ED3" w14:textId="77777777" w:rsidR="00EB4970" w:rsidRDefault="00AD63E4">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792B7ED4" w14:textId="77777777" w:rsidR="00EB4970" w:rsidRDefault="00AD63E4">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792B7ED5" w14:textId="77777777" w:rsidR="00EB4970" w:rsidRDefault="00AD63E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792B7ED6" w14:textId="77777777" w:rsidR="00EB4970" w:rsidRDefault="00AD63E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792B7ED7" w14:textId="77777777" w:rsidR="00EB4970" w:rsidRDefault="00AD63E4">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792B7ED8" w14:textId="77777777" w:rsidR="00EB4970" w:rsidRDefault="00EB4970">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792B7ED9" w14:textId="77777777" w:rsidR="00EB4970" w:rsidRDefault="00AD63E4">
      <w:pPr>
        <w:keepNext/>
        <w:pBdr>
          <w:top w:val="nil"/>
          <w:left w:val="nil"/>
          <w:bottom w:val="nil"/>
          <w:right w:val="nil"/>
          <w:between w:val="nil"/>
        </w:pBdr>
        <w:spacing w:after="240" w:line="240" w:lineRule="auto"/>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A: Service Levels and Service Credits </w:t>
      </w:r>
    </w:p>
    <w:p w14:paraId="792B7EDA" w14:textId="77777777" w:rsidR="00EB4970" w:rsidRDefault="00AD63E4">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Service Levels</w:t>
      </w:r>
    </w:p>
    <w:p w14:paraId="792B7EDB" w14:textId="77777777" w:rsidR="00EB4970" w:rsidRDefault="00AD63E4">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792B7EDC" w14:textId="77777777" w:rsidR="00EB4970" w:rsidRDefault="00AD63E4">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792B7EDD" w14:textId="77777777" w:rsidR="00EB4970" w:rsidRDefault="00AD63E4">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792B7EDE" w14:textId="77777777" w:rsidR="00EB4970" w:rsidRDefault="00AD63E4">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w:t>
      </w:r>
      <w:r>
        <w:rPr>
          <w:rFonts w:ascii="Arial" w:eastAsia="Arial" w:hAnsi="Arial" w:cs="Arial"/>
          <w:color w:val="000000"/>
          <w:sz w:val="24"/>
          <w:szCs w:val="24"/>
        </w:rPr>
        <w:t>, in its absolute discretion and without limiting any other of its rights, may:</w:t>
      </w:r>
    </w:p>
    <w:p w14:paraId="792B7EDF" w14:textId="77777777" w:rsidR="00EB4970" w:rsidRDefault="00AD63E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792B7EE0" w14:textId="77777777" w:rsidR="00EB4970" w:rsidRDefault="00AD63E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instruct the Supplier t</w:t>
      </w:r>
      <w:r>
        <w:rPr>
          <w:rFonts w:ascii="Arial" w:eastAsia="Arial" w:hAnsi="Arial" w:cs="Arial"/>
          <w:color w:val="000000"/>
          <w:sz w:val="24"/>
          <w:szCs w:val="24"/>
        </w:rPr>
        <w:t xml:space="preserve">o comply with the Rectification Plan Process; </w:t>
      </w:r>
    </w:p>
    <w:p w14:paraId="792B7EE1" w14:textId="77777777" w:rsidR="00EB4970" w:rsidRDefault="00AD63E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792B7EE2" w14:textId="77777777" w:rsidR="00EB4970" w:rsidRDefault="00AD63E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w:t>
      </w:r>
      <w:r>
        <w:rPr>
          <w:rFonts w:ascii="Arial" w:eastAsia="Arial" w:hAnsi="Arial" w:cs="Arial"/>
          <w:color w:val="000000"/>
          <w:sz w:val="24"/>
          <w:szCs w:val="24"/>
        </w:rPr>
        <w:t>ation for Critical Service Level Failure (including the right to terminate for material Default).</w:t>
      </w:r>
    </w:p>
    <w:p w14:paraId="792B7EE3" w14:textId="77777777" w:rsidR="00EB4970" w:rsidRDefault="00AD63E4">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Service Credits</w:t>
      </w:r>
    </w:p>
    <w:p w14:paraId="792B7EE4" w14:textId="77777777" w:rsidR="00EB4970" w:rsidRDefault="00AD63E4">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792B7EE5" w14:textId="77777777" w:rsidR="00EB4970" w:rsidRDefault="00AD63E4">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 in respect of t</w:t>
      </w:r>
      <w:r>
        <w:rPr>
          <w:rFonts w:ascii="Arial" w:eastAsia="Arial" w:hAnsi="Arial" w:cs="Arial"/>
          <w:color w:val="000000"/>
          <w:sz w:val="24"/>
          <w:szCs w:val="24"/>
        </w:rPr>
        <w:t xml:space="preserve">he Deliverables and do not include VAT. The Supplier shall set-off the value of any Service Credits against the appropriate invoice in accordance with calculation formula in the Annex to Part A of this Schedule. </w:t>
      </w:r>
    </w:p>
    <w:p w14:paraId="792B7EE6" w14:textId="77777777" w:rsidR="00EB4970" w:rsidRDefault="00AD63E4">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36"/>
          <w:szCs w:val="36"/>
        </w:rPr>
        <w:lastRenderedPageBreak/>
        <w:t>Annex A to Part A: Services Levels and Service Credits Table</w:t>
      </w:r>
    </w:p>
    <w:p w14:paraId="792B7EE7" w14:textId="77777777" w:rsidR="00EB4970" w:rsidRDefault="00AD63E4">
      <w:pPr>
        <w:ind w:left="709"/>
        <w:rPr>
          <w:rFonts w:ascii="Arial" w:eastAsia="Arial" w:hAnsi="Arial" w:cs="Arial"/>
          <w:sz w:val="24"/>
          <w:szCs w:val="24"/>
        </w:rPr>
      </w:pPr>
      <w:r>
        <w:rPr>
          <w:rFonts w:ascii="Arial" w:eastAsia="Arial" w:hAnsi="Arial" w:cs="Arial"/>
          <w:sz w:val="24"/>
          <w:szCs w:val="24"/>
        </w:rPr>
        <w:t>The Authority will measure the quality of the Supplier’s delivery by:</w:t>
      </w:r>
    </w:p>
    <w:p w14:paraId="792B7EE8" w14:textId="77777777" w:rsidR="00EB4970" w:rsidRDefault="00EB4970">
      <w:pPr>
        <w:spacing w:line="240" w:lineRule="auto"/>
        <w:rPr>
          <w:rFonts w:ascii="Arial" w:eastAsia="Arial" w:hAnsi="Arial" w:cs="Arial"/>
          <w:sz w:val="24"/>
          <w:szCs w:val="24"/>
        </w:rPr>
      </w:pPr>
    </w:p>
    <w:sdt>
      <w:sdtPr>
        <w:tag w:val="goog_rdk_0"/>
        <w:id w:val="-1101800034"/>
        <w:lock w:val="contentLocked"/>
      </w:sdtPr>
      <w:sdtEndPr/>
      <w:sdtContent>
        <w:tbl>
          <w:tblPr>
            <w:tblStyle w:val="a0"/>
            <w:tblW w:w="8966" w:type="dxa"/>
            <w:tblLayout w:type="fixed"/>
            <w:tblLook w:val="0400" w:firstRow="0" w:lastRow="0" w:firstColumn="0" w:lastColumn="0" w:noHBand="0" w:noVBand="1"/>
          </w:tblPr>
          <w:tblGrid>
            <w:gridCol w:w="842"/>
            <w:gridCol w:w="2031"/>
            <w:gridCol w:w="5205"/>
            <w:gridCol w:w="888"/>
          </w:tblGrid>
          <w:tr w:rsidR="00EB4970" w14:paraId="792B7EED" w14:textId="77777777">
            <w:tc>
              <w:tcPr>
                <w:tcW w:w="842" w:type="dxa"/>
                <w:tcBorders>
                  <w:top w:val="single" w:sz="24" w:space="0" w:color="000000"/>
                  <w:left w:val="single" w:sz="24" w:space="0" w:color="000000"/>
                  <w:bottom w:val="single" w:sz="6" w:space="0" w:color="000000"/>
                  <w:right w:val="single" w:sz="6" w:space="0" w:color="000000"/>
                </w:tcBorders>
                <w:shd w:val="clear" w:color="auto" w:fill="B8CCE4"/>
                <w:tcMar>
                  <w:top w:w="0" w:type="dxa"/>
                  <w:left w:w="115" w:type="dxa"/>
                  <w:bottom w:w="0" w:type="dxa"/>
                  <w:right w:w="115" w:type="dxa"/>
                </w:tcMar>
              </w:tcPr>
              <w:p w14:paraId="792B7EE9" w14:textId="77777777" w:rsidR="00EB4970" w:rsidRDefault="00AD63E4">
                <w:pPr>
                  <w:spacing w:after="240" w:line="240" w:lineRule="auto"/>
                  <w:ind w:left="-13"/>
                  <w:jc w:val="both"/>
                  <w:rPr>
                    <w:rFonts w:ascii="Times New Roman" w:eastAsia="Times New Roman" w:hAnsi="Times New Roman"/>
                    <w:sz w:val="24"/>
                    <w:szCs w:val="24"/>
                  </w:rPr>
                </w:pPr>
                <w:r>
                  <w:rPr>
                    <w:rFonts w:ascii="Arial" w:eastAsia="Arial" w:hAnsi="Arial" w:cs="Arial"/>
                    <w:b/>
                    <w:sz w:val="24"/>
                    <w:szCs w:val="24"/>
                  </w:rPr>
                  <w:t>KPI/ SLA</w:t>
                </w:r>
              </w:p>
            </w:tc>
            <w:tc>
              <w:tcPr>
                <w:tcW w:w="2031" w:type="dxa"/>
                <w:tcBorders>
                  <w:top w:val="single" w:sz="24" w:space="0" w:color="000000"/>
                  <w:left w:val="single" w:sz="6" w:space="0" w:color="000000"/>
                  <w:bottom w:val="single" w:sz="6" w:space="0" w:color="000000"/>
                  <w:right w:val="single" w:sz="6" w:space="0" w:color="000000"/>
                </w:tcBorders>
                <w:shd w:val="clear" w:color="auto" w:fill="B8CCE4"/>
                <w:tcMar>
                  <w:top w:w="0" w:type="dxa"/>
                  <w:left w:w="115" w:type="dxa"/>
                  <w:bottom w:w="0" w:type="dxa"/>
                  <w:right w:w="115" w:type="dxa"/>
                </w:tcMar>
              </w:tcPr>
              <w:p w14:paraId="792B7EEA" w14:textId="77777777" w:rsidR="00EB4970" w:rsidRDefault="00AD63E4">
                <w:pPr>
                  <w:spacing w:after="240" w:line="240" w:lineRule="auto"/>
                  <w:ind w:left="23"/>
                  <w:jc w:val="both"/>
                  <w:rPr>
                    <w:rFonts w:ascii="Times New Roman" w:eastAsia="Times New Roman" w:hAnsi="Times New Roman"/>
                    <w:sz w:val="24"/>
                    <w:szCs w:val="24"/>
                  </w:rPr>
                </w:pPr>
                <w:r>
                  <w:rPr>
                    <w:rFonts w:ascii="Arial" w:eastAsia="Arial" w:hAnsi="Arial" w:cs="Arial"/>
                    <w:b/>
                    <w:sz w:val="24"/>
                    <w:szCs w:val="24"/>
                  </w:rPr>
                  <w:t>Service Area</w:t>
                </w:r>
              </w:p>
            </w:tc>
            <w:tc>
              <w:tcPr>
                <w:tcW w:w="5205" w:type="dxa"/>
                <w:tcBorders>
                  <w:top w:val="single" w:sz="24" w:space="0" w:color="000000"/>
                  <w:left w:val="single" w:sz="6" w:space="0" w:color="000000"/>
                  <w:bottom w:val="single" w:sz="6" w:space="0" w:color="000000"/>
                  <w:right w:val="single" w:sz="6" w:space="0" w:color="000000"/>
                </w:tcBorders>
                <w:shd w:val="clear" w:color="auto" w:fill="B8CCE4"/>
                <w:tcMar>
                  <w:top w:w="0" w:type="dxa"/>
                  <w:left w:w="115" w:type="dxa"/>
                  <w:bottom w:w="0" w:type="dxa"/>
                  <w:right w:w="115" w:type="dxa"/>
                </w:tcMar>
              </w:tcPr>
              <w:p w14:paraId="792B7EEB" w14:textId="77777777" w:rsidR="00EB4970" w:rsidRDefault="00AD63E4">
                <w:pPr>
                  <w:spacing w:after="240" w:line="240" w:lineRule="auto"/>
                  <w:ind w:left="32"/>
                  <w:jc w:val="both"/>
                  <w:rPr>
                    <w:rFonts w:ascii="Times New Roman" w:eastAsia="Times New Roman" w:hAnsi="Times New Roman"/>
                    <w:sz w:val="24"/>
                    <w:szCs w:val="24"/>
                  </w:rPr>
                </w:pPr>
                <w:r>
                  <w:rPr>
                    <w:rFonts w:ascii="Arial" w:eastAsia="Arial" w:hAnsi="Arial" w:cs="Arial"/>
                    <w:b/>
                    <w:sz w:val="24"/>
                    <w:szCs w:val="24"/>
                  </w:rPr>
                  <w:t>KPI/SLA description</w:t>
                </w:r>
              </w:p>
            </w:tc>
            <w:tc>
              <w:tcPr>
                <w:tcW w:w="888" w:type="dxa"/>
                <w:tcBorders>
                  <w:top w:val="single" w:sz="24" w:space="0" w:color="000000"/>
                  <w:left w:val="single" w:sz="6" w:space="0" w:color="000000"/>
                  <w:bottom w:val="single" w:sz="6" w:space="0" w:color="000000"/>
                  <w:right w:val="single" w:sz="24" w:space="0" w:color="000000"/>
                </w:tcBorders>
                <w:shd w:val="clear" w:color="auto" w:fill="B8CCE4"/>
                <w:tcMar>
                  <w:top w:w="0" w:type="dxa"/>
                  <w:left w:w="115" w:type="dxa"/>
                  <w:bottom w:w="0" w:type="dxa"/>
                  <w:right w:w="115" w:type="dxa"/>
                </w:tcMar>
              </w:tcPr>
              <w:p w14:paraId="792B7EEC" w14:textId="77777777" w:rsidR="00EB4970" w:rsidRDefault="00AD63E4">
                <w:pPr>
                  <w:spacing w:after="240" w:line="240" w:lineRule="auto"/>
                  <w:ind w:left="-17" w:hanging="85"/>
                  <w:jc w:val="both"/>
                  <w:rPr>
                    <w:rFonts w:ascii="Times New Roman" w:eastAsia="Times New Roman" w:hAnsi="Times New Roman"/>
                    <w:sz w:val="24"/>
                    <w:szCs w:val="24"/>
                  </w:rPr>
                </w:pPr>
                <w:r>
                  <w:rPr>
                    <w:rFonts w:ascii="Arial" w:eastAsia="Arial" w:hAnsi="Arial" w:cs="Arial"/>
                    <w:b/>
                    <w:sz w:val="24"/>
                    <w:szCs w:val="24"/>
                  </w:rPr>
                  <w:t>Target</w:t>
                </w:r>
              </w:p>
            </w:tc>
          </w:tr>
          <w:tr w:rsidR="00EB4970" w14:paraId="792B7EF3" w14:textId="77777777">
            <w:tc>
              <w:tcPr>
                <w:tcW w:w="842"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tcPr>
              <w:p w14:paraId="792B7EEE" w14:textId="77777777" w:rsidR="00EB4970" w:rsidRDefault="00AD63E4">
                <w:pPr>
                  <w:spacing w:after="240" w:line="240" w:lineRule="auto"/>
                  <w:ind w:left="129"/>
                  <w:rPr>
                    <w:rFonts w:ascii="Times New Roman" w:eastAsia="Times New Roman" w:hAnsi="Times New Roman"/>
                    <w:sz w:val="24"/>
                    <w:szCs w:val="24"/>
                  </w:rPr>
                </w:pPr>
                <w:r>
                  <w:rPr>
                    <w:rFonts w:ascii="Arial" w:eastAsia="Arial" w:hAnsi="Arial" w:cs="Arial"/>
                    <w:sz w:val="24"/>
                    <w:szCs w:val="24"/>
                  </w:rPr>
                  <w:t>1</w:t>
                </w:r>
              </w:p>
            </w:tc>
            <w:tc>
              <w:tcPr>
                <w:tcW w:w="203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92B7EEF" w14:textId="77777777" w:rsidR="00EB4970" w:rsidRDefault="00AD63E4">
                <w:pPr>
                  <w:spacing w:after="240" w:line="240" w:lineRule="auto"/>
                  <w:ind w:left="29"/>
                  <w:rPr>
                    <w:rFonts w:ascii="Times New Roman" w:eastAsia="Times New Roman" w:hAnsi="Times New Roman"/>
                    <w:sz w:val="24"/>
                    <w:szCs w:val="24"/>
                  </w:rPr>
                </w:pPr>
                <w:r>
                  <w:rPr>
                    <w:rFonts w:ascii="Arial" w:eastAsia="Arial" w:hAnsi="Arial" w:cs="Arial"/>
                    <w:sz w:val="24"/>
                    <w:szCs w:val="24"/>
                  </w:rPr>
                  <w:t>Responsiveness</w:t>
                </w:r>
              </w:p>
            </w:tc>
            <w:tc>
              <w:tcPr>
                <w:tcW w:w="52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92B7EF0" w14:textId="77777777" w:rsidR="00EB4970" w:rsidRDefault="00AD63E4">
                <w:pPr>
                  <w:spacing w:before="120" w:after="120" w:line="240" w:lineRule="auto"/>
                  <w:ind w:left="113" w:right="113"/>
                  <w:rPr>
                    <w:rFonts w:ascii="Times New Roman" w:eastAsia="Times New Roman" w:hAnsi="Times New Roman"/>
                    <w:sz w:val="24"/>
                    <w:szCs w:val="24"/>
                  </w:rPr>
                </w:pPr>
                <w:r>
                  <w:rPr>
                    <w:rFonts w:ascii="Arial" w:eastAsia="Arial" w:hAnsi="Arial" w:cs="Arial"/>
                    <w:sz w:val="24"/>
                    <w:szCs w:val="24"/>
                  </w:rPr>
                  <w:t>Supplier must respond to email requests from the Inquiry Key Staff* marked URGENT within 1 working day. </w:t>
                </w:r>
              </w:p>
              <w:p w14:paraId="792B7EF1" w14:textId="77777777" w:rsidR="00EB4970" w:rsidRDefault="00AD63E4">
                <w:pPr>
                  <w:spacing w:before="120" w:after="120" w:line="240" w:lineRule="auto"/>
                  <w:ind w:left="113" w:right="113"/>
                  <w:rPr>
                    <w:rFonts w:ascii="Times New Roman" w:eastAsia="Times New Roman" w:hAnsi="Times New Roman"/>
                    <w:sz w:val="24"/>
                    <w:szCs w:val="24"/>
                  </w:rPr>
                </w:pPr>
                <w:r>
                  <w:rPr>
                    <w:rFonts w:ascii="Arial" w:eastAsia="Arial" w:hAnsi="Arial" w:cs="Arial"/>
                    <w:sz w:val="24"/>
                    <w:szCs w:val="24"/>
                  </w:rPr>
                  <w:t>*The list of those defined as key staff can be found in the Order Form</w:t>
                </w:r>
              </w:p>
            </w:tc>
            <w:tc>
              <w:tcPr>
                <w:tcW w:w="888"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tcPr>
              <w:p w14:paraId="792B7EF2" w14:textId="77777777" w:rsidR="00EB4970" w:rsidRDefault="00AD63E4">
                <w:pPr>
                  <w:spacing w:after="240" w:line="240" w:lineRule="auto"/>
                  <w:rPr>
                    <w:rFonts w:ascii="Times New Roman" w:eastAsia="Times New Roman" w:hAnsi="Times New Roman"/>
                    <w:sz w:val="24"/>
                    <w:szCs w:val="24"/>
                  </w:rPr>
                </w:pPr>
                <w:r>
                  <w:rPr>
                    <w:rFonts w:ascii="Arial" w:eastAsia="Arial" w:hAnsi="Arial" w:cs="Arial"/>
                    <w:sz w:val="24"/>
                    <w:szCs w:val="24"/>
                  </w:rPr>
                  <w:t>95%</w:t>
                </w:r>
              </w:p>
            </w:tc>
            <w:bookmarkStart w:id="1" w:name="_GoBack"/>
            <w:bookmarkEnd w:id="1"/>
          </w:tr>
          <w:tr w:rsidR="00EB4970" w14:paraId="792B7EF9" w14:textId="77777777">
            <w:tc>
              <w:tcPr>
                <w:tcW w:w="842"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tcPr>
              <w:p w14:paraId="792B7EF4" w14:textId="77777777" w:rsidR="00EB4970" w:rsidRDefault="00AD63E4">
                <w:pPr>
                  <w:spacing w:after="240" w:line="240" w:lineRule="auto"/>
                  <w:ind w:left="129"/>
                  <w:rPr>
                    <w:rFonts w:ascii="Times New Roman" w:eastAsia="Times New Roman" w:hAnsi="Times New Roman"/>
                    <w:sz w:val="24"/>
                    <w:szCs w:val="24"/>
                  </w:rPr>
                </w:pPr>
                <w:r>
                  <w:rPr>
                    <w:rFonts w:ascii="Arial" w:eastAsia="Arial" w:hAnsi="Arial" w:cs="Arial"/>
                    <w:sz w:val="24"/>
                    <w:szCs w:val="24"/>
                  </w:rPr>
                  <w:t>2</w:t>
                </w:r>
              </w:p>
            </w:tc>
            <w:tc>
              <w:tcPr>
                <w:tcW w:w="203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92B7EF5" w14:textId="77777777" w:rsidR="00EB4970" w:rsidRDefault="00AD63E4">
                <w:pPr>
                  <w:spacing w:after="240" w:line="240" w:lineRule="auto"/>
                  <w:ind w:left="-41"/>
                  <w:rPr>
                    <w:rFonts w:ascii="Times New Roman" w:eastAsia="Times New Roman" w:hAnsi="Times New Roman"/>
                    <w:sz w:val="24"/>
                    <w:szCs w:val="24"/>
                  </w:rPr>
                </w:pPr>
                <w:r>
                  <w:rPr>
                    <w:rFonts w:ascii="Arial" w:eastAsia="Arial" w:hAnsi="Arial" w:cs="Arial"/>
                    <w:sz w:val="24"/>
                    <w:szCs w:val="24"/>
                  </w:rPr>
                  <w:t>Responsiveness</w:t>
                </w:r>
              </w:p>
            </w:tc>
            <w:tc>
              <w:tcPr>
                <w:tcW w:w="52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92B7EF6" w14:textId="77777777" w:rsidR="00EB4970" w:rsidRDefault="00AD63E4">
                <w:pPr>
                  <w:spacing w:before="120" w:after="120" w:line="240" w:lineRule="auto"/>
                  <w:ind w:left="32" w:right="113"/>
                  <w:rPr>
                    <w:rFonts w:ascii="Times New Roman" w:eastAsia="Times New Roman" w:hAnsi="Times New Roman"/>
                    <w:sz w:val="24"/>
                    <w:szCs w:val="24"/>
                  </w:rPr>
                </w:pPr>
                <w:r>
                  <w:rPr>
                    <w:rFonts w:ascii="Arial" w:eastAsia="Arial" w:hAnsi="Arial" w:cs="Arial"/>
                    <w:sz w:val="24"/>
                    <w:szCs w:val="24"/>
                  </w:rPr>
                  <w:t>Supplier must respond to other, non-urgent email requests from Inquiry Key Staff* within 2 working days.</w:t>
                </w:r>
              </w:p>
              <w:p w14:paraId="792B7EF7" w14:textId="77777777" w:rsidR="00EB4970" w:rsidRDefault="00AD63E4">
                <w:pPr>
                  <w:spacing w:after="240" w:line="240" w:lineRule="auto"/>
                  <w:ind w:left="32"/>
                  <w:rPr>
                    <w:rFonts w:ascii="Times New Roman" w:eastAsia="Times New Roman" w:hAnsi="Times New Roman"/>
                    <w:sz w:val="24"/>
                    <w:szCs w:val="24"/>
                  </w:rPr>
                </w:pPr>
                <w:r>
                  <w:rPr>
                    <w:rFonts w:ascii="Arial" w:eastAsia="Arial" w:hAnsi="Arial" w:cs="Arial"/>
                    <w:sz w:val="24"/>
                    <w:szCs w:val="24"/>
                  </w:rPr>
                  <w:t>*The list of those defined as key staff can be found in the Order Form</w:t>
                </w:r>
              </w:p>
            </w:tc>
            <w:tc>
              <w:tcPr>
                <w:tcW w:w="888"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tcPr>
              <w:p w14:paraId="792B7EF8" w14:textId="77777777" w:rsidR="00EB4970" w:rsidRDefault="00AD63E4">
                <w:pPr>
                  <w:spacing w:after="240" w:line="240" w:lineRule="auto"/>
                  <w:ind w:left="-17" w:hanging="85"/>
                  <w:rPr>
                    <w:rFonts w:ascii="Times New Roman" w:eastAsia="Times New Roman" w:hAnsi="Times New Roman"/>
                    <w:sz w:val="24"/>
                    <w:szCs w:val="24"/>
                  </w:rPr>
                </w:pPr>
                <w:r>
                  <w:rPr>
                    <w:rFonts w:ascii="Arial" w:eastAsia="Arial" w:hAnsi="Arial" w:cs="Arial"/>
                    <w:sz w:val="24"/>
                    <w:szCs w:val="24"/>
                  </w:rPr>
                  <w:t>95%</w:t>
                </w:r>
              </w:p>
            </w:tc>
          </w:tr>
          <w:tr w:rsidR="00EB4970" w14:paraId="792B7F00" w14:textId="77777777">
            <w:tc>
              <w:tcPr>
                <w:tcW w:w="842" w:type="dxa"/>
                <w:tcBorders>
                  <w:top w:val="single" w:sz="6" w:space="0" w:color="000000"/>
                  <w:left w:val="single" w:sz="24" w:space="0" w:color="000000"/>
                  <w:bottom w:val="single" w:sz="24" w:space="0" w:color="000000"/>
                  <w:right w:val="single" w:sz="6" w:space="0" w:color="000000"/>
                </w:tcBorders>
                <w:tcMar>
                  <w:top w:w="0" w:type="dxa"/>
                  <w:left w:w="115" w:type="dxa"/>
                  <w:bottom w:w="0" w:type="dxa"/>
                  <w:right w:w="115" w:type="dxa"/>
                </w:tcMar>
              </w:tcPr>
              <w:p w14:paraId="792B7EFA" w14:textId="77777777" w:rsidR="00EB4970" w:rsidRDefault="00AD63E4">
                <w:pPr>
                  <w:spacing w:after="240" w:line="240" w:lineRule="auto"/>
                  <w:ind w:left="129"/>
                  <w:rPr>
                    <w:rFonts w:ascii="Times New Roman" w:eastAsia="Times New Roman" w:hAnsi="Times New Roman"/>
                    <w:sz w:val="24"/>
                    <w:szCs w:val="24"/>
                  </w:rPr>
                </w:pPr>
                <w:r>
                  <w:rPr>
                    <w:rFonts w:ascii="Arial" w:eastAsia="Arial" w:hAnsi="Arial" w:cs="Arial"/>
                    <w:sz w:val="24"/>
                    <w:szCs w:val="24"/>
                  </w:rPr>
                  <w:t>3</w:t>
                </w:r>
              </w:p>
            </w:tc>
            <w:tc>
              <w:tcPr>
                <w:tcW w:w="2031" w:type="dxa"/>
                <w:tcBorders>
                  <w:top w:val="single" w:sz="6" w:space="0" w:color="000000"/>
                  <w:left w:val="single" w:sz="6" w:space="0" w:color="000000"/>
                  <w:bottom w:val="single" w:sz="24" w:space="0" w:color="000000"/>
                  <w:right w:val="single" w:sz="6" w:space="0" w:color="000000"/>
                </w:tcBorders>
                <w:tcMar>
                  <w:top w:w="0" w:type="dxa"/>
                  <w:left w:w="115" w:type="dxa"/>
                  <w:bottom w:w="0" w:type="dxa"/>
                  <w:right w:w="115" w:type="dxa"/>
                </w:tcMar>
              </w:tcPr>
              <w:p w14:paraId="792B7EFB" w14:textId="77777777" w:rsidR="00EB4970" w:rsidRDefault="00AD63E4">
                <w:pPr>
                  <w:spacing w:after="240" w:line="240" w:lineRule="auto"/>
                  <w:ind w:left="-41"/>
                  <w:rPr>
                    <w:rFonts w:ascii="Times New Roman" w:eastAsia="Times New Roman" w:hAnsi="Times New Roman"/>
                    <w:sz w:val="24"/>
                    <w:szCs w:val="24"/>
                  </w:rPr>
                </w:pPr>
                <w:r>
                  <w:rPr>
                    <w:rFonts w:ascii="Arial" w:eastAsia="Arial" w:hAnsi="Arial" w:cs="Arial"/>
                    <w:sz w:val="24"/>
                    <w:szCs w:val="24"/>
                  </w:rPr>
                  <w:t>Deadlines</w:t>
                </w:r>
              </w:p>
            </w:tc>
            <w:tc>
              <w:tcPr>
                <w:tcW w:w="5205" w:type="dxa"/>
                <w:tcBorders>
                  <w:top w:val="single" w:sz="6" w:space="0" w:color="000000"/>
                  <w:left w:val="single" w:sz="6" w:space="0" w:color="000000"/>
                  <w:bottom w:val="single" w:sz="24" w:space="0" w:color="000000"/>
                  <w:right w:val="single" w:sz="6" w:space="0" w:color="000000"/>
                </w:tcBorders>
                <w:tcMar>
                  <w:top w:w="0" w:type="dxa"/>
                  <w:left w:w="115" w:type="dxa"/>
                  <w:bottom w:w="0" w:type="dxa"/>
                  <w:right w:w="115" w:type="dxa"/>
                </w:tcMar>
              </w:tcPr>
              <w:p w14:paraId="792B7EFC" w14:textId="77777777" w:rsidR="00EB4970" w:rsidRDefault="00AD63E4">
                <w:pPr>
                  <w:spacing w:before="120" w:after="120" w:line="240" w:lineRule="auto"/>
                  <w:ind w:right="113"/>
                  <w:rPr>
                    <w:rFonts w:ascii="Times New Roman" w:eastAsia="Times New Roman" w:hAnsi="Times New Roman"/>
                    <w:sz w:val="24"/>
                    <w:szCs w:val="24"/>
                  </w:rPr>
                </w:pPr>
                <w:r>
                  <w:rPr>
                    <w:rFonts w:ascii="Arial" w:eastAsia="Arial" w:hAnsi="Arial" w:cs="Arial"/>
                    <w:sz w:val="24"/>
                    <w:szCs w:val="24"/>
                  </w:rPr>
                  <w:t>The Supplier must deliver the milestones outlined at 7.1 within 30 days of the specified date.</w:t>
                </w:r>
              </w:p>
              <w:p w14:paraId="792B7EFD" w14:textId="77777777" w:rsidR="00EB4970" w:rsidRDefault="00EB4970">
                <w:pPr>
                  <w:spacing w:after="0" w:line="240" w:lineRule="auto"/>
                  <w:rPr>
                    <w:rFonts w:ascii="Times New Roman" w:eastAsia="Times New Roman" w:hAnsi="Times New Roman"/>
                    <w:sz w:val="24"/>
                    <w:szCs w:val="24"/>
                  </w:rPr>
                </w:pPr>
              </w:p>
              <w:p w14:paraId="792B7EFE" w14:textId="77777777" w:rsidR="00EB4970" w:rsidRDefault="00AD63E4">
                <w:pPr>
                  <w:spacing w:before="120" w:after="120" w:line="240" w:lineRule="auto"/>
                  <w:ind w:right="113"/>
                  <w:rPr>
                    <w:rFonts w:ascii="Times New Roman" w:eastAsia="Times New Roman" w:hAnsi="Times New Roman"/>
                    <w:sz w:val="24"/>
                    <w:szCs w:val="24"/>
                  </w:rPr>
                </w:pPr>
                <w:r>
                  <w:rPr>
                    <w:rFonts w:ascii="Arial" w:eastAsia="Arial" w:hAnsi="Arial" w:cs="Arial"/>
                    <w:sz w:val="24"/>
                    <w:szCs w:val="24"/>
                  </w:rPr>
                  <w:t>Failure to comply with the KPI will result in the deduction of 5% of the deliverables for each day over the target or agreed deadline where it is the fault of the Supplier. </w:t>
                </w:r>
              </w:p>
            </w:tc>
            <w:tc>
              <w:tcPr>
                <w:tcW w:w="888" w:type="dxa"/>
                <w:tcBorders>
                  <w:top w:val="single" w:sz="6" w:space="0" w:color="000000"/>
                  <w:left w:val="single" w:sz="6" w:space="0" w:color="000000"/>
                  <w:bottom w:val="single" w:sz="24" w:space="0" w:color="000000"/>
                  <w:right w:val="single" w:sz="24" w:space="0" w:color="000000"/>
                </w:tcBorders>
                <w:tcMar>
                  <w:top w:w="0" w:type="dxa"/>
                  <w:left w:w="115" w:type="dxa"/>
                  <w:bottom w:w="0" w:type="dxa"/>
                  <w:right w:w="115" w:type="dxa"/>
                </w:tcMar>
              </w:tcPr>
              <w:p w14:paraId="792B7EFF" w14:textId="77777777" w:rsidR="00EB4970" w:rsidRDefault="00AD63E4">
                <w:pPr>
                  <w:spacing w:after="240" w:line="240" w:lineRule="auto"/>
                  <w:ind w:left="-17" w:hanging="85"/>
                  <w:rPr>
                    <w:rFonts w:ascii="Times New Roman" w:eastAsia="Times New Roman" w:hAnsi="Times New Roman"/>
                    <w:sz w:val="24"/>
                    <w:szCs w:val="24"/>
                  </w:rPr>
                </w:pPr>
                <w:r>
                  <w:rPr>
                    <w:rFonts w:ascii="Arial" w:eastAsia="Arial" w:hAnsi="Arial" w:cs="Arial"/>
                    <w:sz w:val="24"/>
                    <w:szCs w:val="24"/>
                  </w:rPr>
                  <w:t>95%</w:t>
                </w:r>
              </w:p>
            </w:tc>
          </w:tr>
        </w:tbl>
      </w:sdtContent>
    </w:sdt>
    <w:p w14:paraId="792B7F01" w14:textId="77777777" w:rsidR="00EB4970" w:rsidRDefault="00EB4970">
      <w:pPr>
        <w:ind w:left="709"/>
        <w:rPr>
          <w:rFonts w:ascii="Arial" w:eastAsia="Arial" w:hAnsi="Arial" w:cs="Arial"/>
          <w:b/>
          <w:sz w:val="24"/>
          <w:szCs w:val="24"/>
        </w:rPr>
      </w:pPr>
    </w:p>
    <w:p w14:paraId="792B7F02" w14:textId="77777777" w:rsidR="00EB4970" w:rsidRDefault="00AD63E4">
      <w:pPr>
        <w:ind w:left="709"/>
        <w:rPr>
          <w:rFonts w:ascii="Arial" w:eastAsia="Arial" w:hAnsi="Arial" w:cs="Arial"/>
          <w:sz w:val="24"/>
          <w:szCs w:val="24"/>
        </w:rPr>
      </w:pPr>
      <w:r>
        <w:rPr>
          <w:rFonts w:ascii="Arial" w:eastAsia="Arial" w:hAnsi="Arial" w:cs="Arial"/>
          <w:sz w:val="24"/>
          <w:szCs w:val="24"/>
        </w:rPr>
        <w:t>The Service Credits shall be calculated as outlined in the above table.</w:t>
      </w:r>
    </w:p>
    <w:p w14:paraId="792B7F03" w14:textId="77777777" w:rsidR="00EB4970" w:rsidRDefault="00AD63E4">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Pa</w:t>
      </w:r>
      <w:r>
        <w:rPr>
          <w:rFonts w:ascii="Arial" w:eastAsia="Arial" w:hAnsi="Arial" w:cs="Arial"/>
          <w:b/>
          <w:color w:val="000000"/>
          <w:sz w:val="36"/>
          <w:szCs w:val="36"/>
        </w:rPr>
        <w:t xml:space="preserve">rt B: Performance Monitoring </w:t>
      </w:r>
    </w:p>
    <w:p w14:paraId="792B7F04" w14:textId="77777777" w:rsidR="00EB4970" w:rsidRDefault="00AD63E4">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14:paraId="792B7F05" w14:textId="77777777" w:rsidR="00EB4970" w:rsidRDefault="00AD63E4">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14:paraId="792B7F06" w14:textId="77777777" w:rsidR="00EB4970" w:rsidRDefault="00AD63E4">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w:t>
      </w:r>
      <w:r>
        <w:rPr>
          <w:rFonts w:ascii="Arial" w:eastAsia="Arial" w:hAnsi="Arial" w:cs="Arial"/>
          <w:color w:val="000000"/>
          <w:sz w:val="24"/>
          <w:szCs w:val="24"/>
        </w:rPr>
        <w:lastRenderedPageBreak/>
        <w:t xml:space="preserve">process and timescales agreed pursuant to paragraph 1.1 of Part B of this Schedule </w:t>
      </w:r>
      <w:r>
        <w:rPr>
          <w:rFonts w:ascii="Arial" w:eastAsia="Arial" w:hAnsi="Arial" w:cs="Arial"/>
          <w:color w:val="000000"/>
          <w:sz w:val="24"/>
          <w:szCs w:val="24"/>
        </w:rPr>
        <w:t>which shall contain, as a minimum, the following information in respect of the relevant Service Period just ended:</w:t>
      </w:r>
    </w:p>
    <w:p w14:paraId="792B7F07" w14:textId="77777777" w:rsidR="00EB4970" w:rsidRDefault="00AD63E4">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792B7F08" w14:textId="77777777" w:rsidR="00EB4970" w:rsidRDefault="00AD63E4">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792B7F09" w14:textId="77777777" w:rsidR="00EB4970" w:rsidRDefault="00AD63E4">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792B7F0A" w14:textId="77777777" w:rsidR="00EB4970" w:rsidRDefault="00AD63E4">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792B7F0B" w14:textId="77777777" w:rsidR="00EB4970" w:rsidRDefault="00AD63E4">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w:t>
      </w:r>
      <w:r>
        <w:rPr>
          <w:rFonts w:ascii="Arial" w:eastAsia="Arial" w:hAnsi="Arial" w:cs="Arial"/>
          <w:color w:val="000000"/>
          <w:sz w:val="24"/>
          <w:szCs w:val="24"/>
        </w:rPr>
        <w:t xml:space="preserve"> to be applied in respect of the relevant period indicating the failures and Service Levels to which the Service Credits relate; and</w:t>
      </w:r>
    </w:p>
    <w:p w14:paraId="792B7F0C" w14:textId="77777777" w:rsidR="00EB4970" w:rsidRDefault="00AD63E4">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792B7F0D" w14:textId="77777777" w:rsidR="00EB4970" w:rsidRDefault="00AD63E4">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w:t>
      </w:r>
      <w:r>
        <w:rPr>
          <w:rFonts w:ascii="Arial" w:eastAsia="Arial" w:hAnsi="Arial" w:cs="Arial"/>
          <w:color w:val="000000"/>
          <w:sz w:val="24"/>
          <w:szCs w:val="24"/>
        </w:rPr>
        <w:t>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792B7F0E" w14:textId="77777777" w:rsidR="00EB4970" w:rsidRDefault="00AD63E4">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w:t>
      </w:r>
      <w:r>
        <w:rPr>
          <w:rFonts w:ascii="Arial" w:eastAsia="Arial" w:hAnsi="Arial" w:cs="Arial"/>
          <w:color w:val="000000"/>
          <w:sz w:val="24"/>
          <w:szCs w:val="24"/>
        </w:rPr>
        <w:t>e place within one (1) week of the Performance Monitoring Reports being issued by the Supplier at such location and time (within normal business hours) as the Buyer shall reasonably require;</w:t>
      </w:r>
    </w:p>
    <w:p w14:paraId="792B7F0F" w14:textId="77777777" w:rsidR="00EB4970" w:rsidRDefault="00AD63E4">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w:t>
      </w:r>
      <w:r>
        <w:rPr>
          <w:rFonts w:ascii="Arial" w:eastAsia="Arial" w:hAnsi="Arial" w:cs="Arial"/>
          <w:color w:val="000000"/>
          <w:sz w:val="24"/>
          <w:szCs w:val="24"/>
        </w:rPr>
        <w:t>esentative; and</w:t>
      </w:r>
    </w:p>
    <w:p w14:paraId="792B7F10" w14:textId="77777777" w:rsidR="00EB4970" w:rsidRDefault="00AD63E4">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792B7F11" w14:textId="77777777" w:rsidR="00EB4970" w:rsidRDefault="00AD63E4">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14:paraId="792B7F12" w14:textId="77777777" w:rsidR="00EB4970" w:rsidRDefault="00AD63E4">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14:paraId="792B7F13" w14:textId="77777777" w:rsidR="00EB4970" w:rsidRDefault="00EB4970">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792B7F14" w14:textId="77777777" w:rsidR="00EB4970" w:rsidRDefault="00AD63E4">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14:paraId="792B7F15" w14:textId="77777777" w:rsidR="00EB4970" w:rsidRDefault="00AD63E4">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w:t>
      </w:r>
      <w:r>
        <w:rPr>
          <w:rFonts w:ascii="Arial" w:eastAsia="Arial" w:hAnsi="Arial" w:cs="Arial"/>
          <w:color w:val="000000"/>
          <w:sz w:val="24"/>
          <w:szCs w:val="24"/>
        </w:rPr>
        <w:t xml:space="preserve">lier's provision of the Deliverables. The Buyer shall be entitled to </w:t>
      </w:r>
      <w:r>
        <w:rPr>
          <w:rFonts w:ascii="Arial" w:eastAsia="Arial" w:hAnsi="Arial" w:cs="Arial"/>
          <w:color w:val="000000"/>
          <w:sz w:val="24"/>
          <w:szCs w:val="24"/>
        </w:rPr>
        <w:lastRenderedPageBreak/>
        <w:t xml:space="preserve">notify the Supplier of any aspects of their performance of the provision of the Deliverables which the responses to the Satisfaction Surveys reasonably suggest are not in accordance with </w:t>
      </w:r>
      <w:r>
        <w:rPr>
          <w:rFonts w:ascii="Arial" w:eastAsia="Arial" w:hAnsi="Arial" w:cs="Arial"/>
          <w:color w:val="000000"/>
          <w:sz w:val="24"/>
          <w:szCs w:val="24"/>
        </w:rPr>
        <w:t>this Contract.</w:t>
      </w:r>
    </w:p>
    <w:p w14:paraId="792B7F16" w14:textId="77777777" w:rsidR="00EB4970" w:rsidRDefault="00EB4970">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EB497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B7F27" w14:textId="77777777" w:rsidR="00000000" w:rsidRDefault="00AD63E4">
      <w:pPr>
        <w:spacing w:after="0" w:line="240" w:lineRule="auto"/>
      </w:pPr>
      <w:r>
        <w:separator/>
      </w:r>
    </w:p>
  </w:endnote>
  <w:endnote w:type="continuationSeparator" w:id="0">
    <w:p w14:paraId="792B7F29" w14:textId="77777777" w:rsidR="00000000" w:rsidRDefault="00AD6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B7F1B" w14:textId="77777777" w:rsidR="00EB4970" w:rsidRDefault="00EB4970">
    <w:pPr>
      <w:tabs>
        <w:tab w:val="center" w:pos="4513"/>
        <w:tab w:val="right" w:pos="9026"/>
      </w:tabs>
      <w:spacing w:after="0" w:line="240" w:lineRule="auto"/>
      <w:jc w:val="both"/>
    </w:pPr>
  </w:p>
  <w:p w14:paraId="792B7F1C" w14:textId="77777777" w:rsidR="00EB4970" w:rsidRDefault="00AD63E4">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14:paraId="792B7F1D" w14:textId="67F62C40" w:rsidR="00EB4970" w:rsidRDefault="00AD6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92B7F1E" w14:textId="77777777" w:rsidR="00EB4970" w:rsidRDefault="00AD6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B7F1F" w14:textId="77777777" w:rsidR="00EB4970" w:rsidRDefault="00EB4970">
    <w:pPr>
      <w:tabs>
        <w:tab w:val="center" w:pos="4513"/>
        <w:tab w:val="right" w:pos="9026"/>
      </w:tabs>
      <w:spacing w:after="0" w:line="240" w:lineRule="auto"/>
      <w:jc w:val="both"/>
    </w:pPr>
  </w:p>
  <w:p w14:paraId="792B7F20" w14:textId="77777777" w:rsidR="00EB4970" w:rsidRDefault="00AD6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t xml:space="preserve">                                           </w:t>
    </w:r>
  </w:p>
  <w:p w14:paraId="792B7F21" w14:textId="77777777" w:rsidR="00EB4970" w:rsidRDefault="00AD6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92B7F22" w14:textId="77777777" w:rsidR="00EB4970" w:rsidRDefault="00AD63E4">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B7F23" w14:textId="77777777" w:rsidR="00000000" w:rsidRDefault="00AD63E4">
      <w:pPr>
        <w:spacing w:after="0" w:line="240" w:lineRule="auto"/>
      </w:pPr>
      <w:r>
        <w:separator/>
      </w:r>
    </w:p>
  </w:footnote>
  <w:footnote w:type="continuationSeparator" w:id="0">
    <w:p w14:paraId="792B7F25" w14:textId="77777777" w:rsidR="00000000" w:rsidRDefault="00AD6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B7F17" w14:textId="77777777" w:rsidR="00EB4970" w:rsidRDefault="00AD6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14 (Service Levels)</w:t>
    </w:r>
  </w:p>
  <w:p w14:paraId="792B7F18" w14:textId="77777777" w:rsidR="00EB4970" w:rsidRDefault="00AD6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r>
      <w:rPr>
        <w:rFonts w:ascii="Arial" w:eastAsia="Arial" w:hAnsi="Arial" w:cs="Arial"/>
        <w:sz w:val="20"/>
        <w:szCs w:val="20"/>
      </w:rPr>
      <w:t>CCZZ24A16</w:t>
    </w:r>
  </w:p>
  <w:p w14:paraId="792B7F19" w14:textId="77777777" w:rsidR="00EB4970" w:rsidRDefault="00AD63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792B7F1A" w14:textId="77777777" w:rsidR="00EB4970" w:rsidRDefault="00EB4970">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26562"/>
    <w:multiLevelType w:val="multilevel"/>
    <w:tmpl w:val="50FAE9F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F8A43DF"/>
    <w:multiLevelType w:val="multilevel"/>
    <w:tmpl w:val="E6F62F0A"/>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4A77517"/>
    <w:multiLevelType w:val="multilevel"/>
    <w:tmpl w:val="A7B07686"/>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0DF0FAB"/>
    <w:multiLevelType w:val="multilevel"/>
    <w:tmpl w:val="777EBAA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A13044C"/>
    <w:multiLevelType w:val="multilevel"/>
    <w:tmpl w:val="1B2CBB16"/>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970"/>
    <w:rsid w:val="00AD63E4"/>
    <w:rsid w:val="00EB49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92B7EAB"/>
  <w15:docId w15:val="{FF135F53-4BD0-4080-B925-0B8EDE51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qita5hvTldMq0yZ0UIrmgrKhQw==">CgMxLjAaHwoBMBIaChgICVIUChJ0YWJsZS5rdWc2Z2xzZnFqbnIyCGguZ2pkZ3hzMgloLjMwajB6bGw4AGopChRzdWdnZXN0LmkwcW9ueTZ3ZGhiOBIRQWxpc3RhaXIgUnVzaG9sbWVyITFoMGFqRjJjVDFGb3RsN1c0bG5sdWNUVkx4aWFkdmxiNw==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1337</Words>
  <Characters>7627</Characters>
  <Application>Microsoft Office Word</Application>
  <DocSecurity>0</DocSecurity>
  <Lines>63</Lines>
  <Paragraphs>17</Paragraphs>
  <ScaleCrop>false</ScaleCrop>
  <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Victoria James</cp:lastModifiedBy>
  <cp:revision>2</cp:revision>
  <dcterms:created xsi:type="dcterms:W3CDTF">2019-08-12T10:46:00Z</dcterms:created>
  <dcterms:modified xsi:type="dcterms:W3CDTF">2025-02-04T14:54:00Z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